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B12B9" w14:textId="77777777" w:rsidR="00C424A4" w:rsidRDefault="00C424A4"/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30"/>
        <w:gridCol w:w="4770"/>
        <w:gridCol w:w="1260"/>
        <w:gridCol w:w="2587"/>
      </w:tblGrid>
      <w:tr w:rsidR="00C424A4" w14:paraId="7EFD4BB3" w14:textId="77777777" w:rsidTr="00C424A4">
        <w:trPr>
          <w:trHeight w:hRule="exact" w:val="73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AE65985" w14:textId="77777777" w:rsidR="00C424A4" w:rsidRDefault="00C424A4" w:rsidP="00DE5D2B">
            <w:pPr>
              <w:spacing w:before="120" w:after="40"/>
              <w:rPr>
                <w:sz w:val="16"/>
              </w:rPr>
            </w:pPr>
            <w:r>
              <w:rPr>
                <w:sz w:val="16"/>
              </w:rPr>
              <w:t>Type of Policy: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14:paraId="62050ACC" w14:textId="77777777" w:rsidR="00C424A4" w:rsidRDefault="00C424A4" w:rsidP="00DE5D2B">
            <w:pPr>
              <w:pStyle w:val="Footer"/>
              <w:spacing w:before="120" w:after="40"/>
              <w:rPr>
                <w:b/>
                <w:caps/>
              </w:rPr>
            </w:pPr>
            <w:r>
              <w:rPr>
                <w:b/>
                <w:caps/>
              </w:rPr>
              <w:t>Region 5 emresource policy guideline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14:paraId="767C18E3" w14:textId="77777777" w:rsidR="00C424A4" w:rsidRDefault="00C424A4" w:rsidP="00DE5D2B">
            <w:pPr>
              <w:spacing w:before="120" w:after="40"/>
              <w:rPr>
                <w:sz w:val="16"/>
              </w:rPr>
            </w:pPr>
            <w:r>
              <w:rPr>
                <w:sz w:val="16"/>
              </w:rPr>
              <w:t>Category: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1D3A212" w14:textId="77777777" w:rsidR="00C424A4" w:rsidRDefault="00C424A4" w:rsidP="00DE5D2B">
            <w:pPr>
              <w:spacing w:before="120" w:after="40"/>
              <w:rPr>
                <w:b/>
              </w:rPr>
            </w:pPr>
            <w:r>
              <w:rPr>
                <w:b/>
                <w:caps/>
              </w:rPr>
              <w:t>EMERGENCY response</w:t>
            </w:r>
          </w:p>
        </w:tc>
      </w:tr>
      <w:tr w:rsidR="00C424A4" w14:paraId="14748E85" w14:textId="77777777" w:rsidTr="00C424A4">
        <w:trPr>
          <w:trHeight w:hRule="exact" w:val="120"/>
        </w:trPr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E16F3" w14:textId="77777777" w:rsidR="00C424A4" w:rsidRDefault="00C424A4" w:rsidP="00DE5D2B">
            <w:pPr>
              <w:spacing w:before="40" w:after="40"/>
              <w:rPr>
                <w:sz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0CD34B1C" w14:textId="77777777" w:rsidR="00C424A4" w:rsidRDefault="00C424A4" w:rsidP="00DE5D2B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F53B0E" w14:textId="77777777" w:rsidR="00C424A4" w:rsidRDefault="00C424A4" w:rsidP="00DE5D2B">
            <w:pPr>
              <w:spacing w:before="40" w:after="40"/>
              <w:rPr>
                <w:sz w:val="16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AE73F4E" w14:textId="77777777" w:rsidR="00C424A4" w:rsidRDefault="00C424A4" w:rsidP="00DE5D2B">
            <w:pPr>
              <w:spacing w:before="40" w:after="40"/>
              <w:rPr>
                <w:b/>
              </w:rPr>
            </w:pPr>
          </w:p>
        </w:tc>
      </w:tr>
      <w:tr w:rsidR="00C424A4" w14:paraId="48AA6108" w14:textId="77777777" w:rsidTr="00C424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8C4F78" w14:textId="77777777" w:rsidR="00C424A4" w:rsidRDefault="00C424A4" w:rsidP="00DE5D2B">
            <w:pPr>
              <w:spacing w:before="120" w:after="40"/>
              <w:rPr>
                <w:sz w:val="16"/>
              </w:rPr>
            </w:pPr>
            <w:r>
              <w:rPr>
                <w:sz w:val="16"/>
              </w:rPr>
              <w:t>Title: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18F8D" w14:textId="78FFFA2A" w:rsidR="00C424A4" w:rsidRDefault="005E68BC" w:rsidP="00DE5D2B">
            <w:pPr>
              <w:pStyle w:val="Heading1"/>
              <w:spacing w:before="120"/>
            </w:pPr>
            <w:r>
              <w:t>Non-Emergency</w:t>
            </w:r>
            <w:r w:rsidR="00D53306">
              <w:t xml:space="preserve"> Status Update Alerting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CEFB7" w14:textId="77777777" w:rsidR="00C424A4" w:rsidRDefault="00C424A4" w:rsidP="00DE5D2B">
            <w:pPr>
              <w:spacing w:before="120" w:after="40"/>
              <w:rPr>
                <w:sz w:val="16"/>
              </w:rPr>
            </w:pPr>
            <w:r>
              <w:rPr>
                <w:sz w:val="16"/>
              </w:rPr>
              <w:t>Policy #: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04EAA4" w14:textId="7449F981" w:rsidR="00C424A4" w:rsidRDefault="002C134E" w:rsidP="00DE5D2B">
            <w:pPr>
              <w:spacing w:before="12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#</w:t>
            </w:r>
            <w:r w:rsidR="005E68BC">
              <w:rPr>
                <w:b/>
                <w:sz w:val="22"/>
              </w:rPr>
              <w:t>9</w:t>
            </w:r>
          </w:p>
        </w:tc>
      </w:tr>
      <w:tr w:rsidR="00C424A4" w14:paraId="65FF8106" w14:textId="77777777" w:rsidTr="00C424A4"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94660" w14:textId="77777777" w:rsidR="00C424A4" w:rsidRDefault="00C424A4" w:rsidP="00DE5D2B">
            <w:pPr>
              <w:spacing w:before="40" w:after="40"/>
              <w:rPr>
                <w:sz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3AED9BE1" w14:textId="77777777" w:rsidR="00C424A4" w:rsidRDefault="00C424A4" w:rsidP="00DE5D2B">
            <w:pPr>
              <w:spacing w:before="40" w:after="4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81D9C2" w14:textId="77777777" w:rsidR="00C424A4" w:rsidRDefault="00C424A4" w:rsidP="00DE5D2B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Replaces #: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BCB35" w14:textId="77777777" w:rsidR="00C424A4" w:rsidRDefault="00C424A4" w:rsidP="00DE5D2B">
            <w:pPr>
              <w:spacing w:before="40" w:after="40"/>
              <w:rPr>
                <w:sz w:val="18"/>
              </w:rPr>
            </w:pPr>
          </w:p>
        </w:tc>
      </w:tr>
      <w:tr w:rsidR="00C424A4" w14:paraId="3055AD6A" w14:textId="77777777" w:rsidTr="00C424A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5BC0B" w14:textId="77777777" w:rsidR="00C424A4" w:rsidRDefault="00C424A4" w:rsidP="00DE5D2B">
            <w:pPr>
              <w:spacing w:before="40" w:after="40"/>
            </w:pPr>
            <w:r>
              <w:rPr>
                <w:sz w:val="16"/>
              </w:rPr>
              <w:t>Page</w:t>
            </w:r>
            <w:r>
              <w:t xml:space="preserve">: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BA4F2" w14:textId="4E1B48DB" w:rsidR="00C424A4" w:rsidRDefault="00C424A4" w:rsidP="00DE5D2B">
            <w:pPr>
              <w:spacing w:before="40" w:after="40"/>
            </w:pP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proofErr w:type="gramStart"/>
            <w:r>
              <w:rPr>
                <w:rStyle w:val="PageNumber"/>
              </w:rPr>
              <w:t>1</w:t>
            </w:r>
            <w:proofErr w:type="gramEnd"/>
            <w:r>
              <w:rPr>
                <w:rStyle w:val="PageNumber"/>
              </w:rPr>
              <w:fldChar w:fldCharType="end"/>
            </w:r>
            <w:r>
              <w:rPr>
                <w:rStyle w:val="PageNumber"/>
              </w:rPr>
              <w:t xml:space="preserve"> of </w:t>
            </w:r>
            <w:r w:rsidR="00D53306">
              <w:rPr>
                <w:rStyle w:val="PageNumbe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C3C588" w14:textId="77777777" w:rsidR="00C424A4" w:rsidRDefault="00C424A4" w:rsidP="00DE5D2B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Developed By: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DE8B8" w14:textId="37B133DA" w:rsidR="00C424A4" w:rsidRDefault="00FE0C60" w:rsidP="00DE5D2B">
            <w:pPr>
              <w:spacing w:before="40" w:after="40"/>
            </w:pPr>
            <w:r>
              <w:t>PSAP</w:t>
            </w:r>
            <w:r w:rsidR="00241BA9">
              <w:t xml:space="preserve"> SME Group, </w:t>
            </w:r>
            <w:r w:rsidR="00C424A4">
              <w:t>CFDMC Staff</w:t>
            </w:r>
          </w:p>
        </w:tc>
      </w:tr>
      <w:tr w:rsidR="00C424A4" w14:paraId="5C97737A" w14:textId="77777777" w:rsidTr="00C424A4">
        <w:trPr>
          <w:cantSplit/>
        </w:trPr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A9BCA" w14:textId="77777777" w:rsidR="00C424A4" w:rsidRDefault="00C424A4" w:rsidP="00DE5D2B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Issue Date: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00677DE3" w14:textId="0AE80CB5" w:rsidR="00C424A4" w:rsidRDefault="000213C4" w:rsidP="00DE5D2B">
            <w:pPr>
              <w:pStyle w:val="Footer"/>
              <w:spacing w:before="40" w:after="40"/>
              <w:rPr>
                <w:b/>
              </w:rPr>
            </w:pPr>
            <w:r>
              <w:rPr>
                <w:b/>
              </w:rPr>
              <w:t>4</w:t>
            </w:r>
            <w:r w:rsidR="00B74342">
              <w:rPr>
                <w:b/>
              </w:rPr>
              <w:t>/</w:t>
            </w:r>
            <w:r>
              <w:rPr>
                <w:b/>
              </w:rPr>
              <w:t>5</w:t>
            </w:r>
            <w:r w:rsidR="00B74342">
              <w:rPr>
                <w:b/>
              </w:rPr>
              <w:t>/24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55175A" w14:textId="77777777" w:rsidR="00C424A4" w:rsidRDefault="00C424A4" w:rsidP="00DE5D2B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Approved By:</w:t>
            </w:r>
          </w:p>
        </w:tc>
        <w:tc>
          <w:tcPr>
            <w:tcW w:w="25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D9FC7" w14:textId="64433D32" w:rsidR="00C424A4" w:rsidRDefault="00C424A4" w:rsidP="00DE5D2B">
            <w:pPr>
              <w:spacing w:before="40" w:after="40"/>
            </w:pPr>
            <w:r>
              <w:t>Region 5 EMResource Steering Committee</w:t>
            </w:r>
          </w:p>
        </w:tc>
      </w:tr>
      <w:tr w:rsidR="00C424A4" w14:paraId="4B5D82DB" w14:textId="77777777" w:rsidTr="00C424A4">
        <w:trPr>
          <w:cantSplit/>
          <w:trHeight w:val="961"/>
        </w:trPr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35F586" w14:textId="77777777" w:rsidR="00C424A4" w:rsidRDefault="00C424A4" w:rsidP="00DE5D2B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Revision Dates: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8E63A" w14:textId="77777777" w:rsidR="00C424A4" w:rsidRDefault="00C424A4" w:rsidP="00DE5D2B">
            <w:pPr>
              <w:spacing w:before="40" w:after="40"/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52306" w14:textId="77777777" w:rsidR="00C424A4" w:rsidRDefault="00C424A4" w:rsidP="00DE5D2B">
            <w:pPr>
              <w:spacing w:before="40" w:after="40"/>
            </w:pPr>
          </w:p>
        </w:tc>
      </w:tr>
    </w:tbl>
    <w:p w14:paraId="5D71F80E" w14:textId="77777777" w:rsidR="00C424A4" w:rsidRDefault="00C424A4" w:rsidP="00C424A4">
      <w:pPr>
        <w:pStyle w:val="Header"/>
      </w:pPr>
    </w:p>
    <w:p w14:paraId="0107DD1D" w14:textId="1158F820" w:rsidR="00C3135B" w:rsidRDefault="00595EFF" w:rsidP="00C424A4">
      <w:pPr>
        <w:pStyle w:val="Header"/>
      </w:pPr>
      <w:r>
        <w:t xml:space="preserve">The use of MCI and Hazmat template </w:t>
      </w:r>
      <w:r w:rsidR="00903F1C">
        <w:t xml:space="preserve">should be restricted to real world events. </w:t>
      </w:r>
      <w:r w:rsidR="00EA6C96">
        <w:t xml:space="preserve"> </w:t>
      </w:r>
      <w:r w:rsidR="00903F1C">
        <w:t xml:space="preserve">Both of these </w:t>
      </w:r>
      <w:r w:rsidR="00EA6C96">
        <w:t>t</w:t>
      </w:r>
      <w:r w:rsidR="00D3265A">
        <w:t>emplates</w:t>
      </w:r>
      <w:r w:rsidR="00903F1C">
        <w:t xml:space="preserve"> ask for ability to </w:t>
      </w:r>
      <w:proofErr w:type="gramStart"/>
      <w:r w:rsidR="00903F1C">
        <w:t>handle</w:t>
      </w:r>
      <w:proofErr w:type="gramEnd"/>
      <w:r w:rsidR="00903F1C">
        <w:t xml:space="preserve"> Red</w:t>
      </w:r>
      <w:r w:rsidR="00C01C0A">
        <w:t xml:space="preserve">, </w:t>
      </w:r>
      <w:r w:rsidR="00EA6C96">
        <w:t>G</w:t>
      </w:r>
      <w:r w:rsidR="00C01C0A">
        <w:t>reen and Yellow triaged patients</w:t>
      </w:r>
      <w:r w:rsidR="00D3265A">
        <w:t xml:space="preserve"> and to update statuses.</w:t>
      </w:r>
      <w:r w:rsidR="000246F9">
        <w:t xml:space="preserve"> </w:t>
      </w:r>
      <w:proofErr w:type="gramStart"/>
      <w:r w:rsidR="00F06DCD">
        <w:t>Many</w:t>
      </w:r>
      <w:proofErr w:type="gramEnd"/>
      <w:r w:rsidR="00F06DCD">
        <w:t xml:space="preserve"> </w:t>
      </w:r>
      <w:r w:rsidR="00EA6C96">
        <w:t>a</w:t>
      </w:r>
      <w:r w:rsidR="00F06DCD">
        <w:t>gency leaders and key partners across the region are set up to receive these for situational awareness.</w:t>
      </w:r>
    </w:p>
    <w:p w14:paraId="16642993" w14:textId="4087CB7F" w:rsidR="00D25911" w:rsidRDefault="00412121" w:rsidP="00C424A4">
      <w:pPr>
        <w:pStyle w:val="Header"/>
      </w:pPr>
      <w:r>
        <w:rPr>
          <w:noProof/>
        </w:rPr>
        <w:drawing>
          <wp:inline distT="0" distB="0" distL="0" distR="0" wp14:anchorId="34968CD2" wp14:editId="79BF69F0">
            <wp:extent cx="5943600" cy="2820035"/>
            <wp:effectExtent l="0" t="0" r="0" b="0"/>
            <wp:docPr id="35368462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684622" name="Picture 1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1268F" w14:textId="77777777" w:rsidR="00412121" w:rsidRDefault="00412121" w:rsidP="00C424A4">
      <w:pPr>
        <w:pStyle w:val="Header"/>
      </w:pPr>
    </w:p>
    <w:p w14:paraId="3F128DD8" w14:textId="60E4DED9" w:rsidR="00412121" w:rsidRDefault="00412121" w:rsidP="00C424A4">
      <w:pPr>
        <w:pStyle w:val="Header"/>
      </w:pPr>
      <w:r>
        <w:t>If Alerting for a non-emergency</w:t>
      </w:r>
      <w:r w:rsidR="00150FAC">
        <w:t xml:space="preserve"> status update</w:t>
      </w:r>
      <w:r w:rsidR="00EA6C96">
        <w:t>,</w:t>
      </w:r>
      <w:r w:rsidR="00150FAC">
        <w:t xml:space="preserve"> please use the below identified templates.</w:t>
      </w:r>
    </w:p>
    <w:p w14:paraId="6DA16DBC" w14:textId="77777777" w:rsidR="00CC53E8" w:rsidRDefault="00CC53E8" w:rsidP="00C424A4">
      <w:pPr>
        <w:pStyle w:val="Header"/>
      </w:pPr>
    </w:p>
    <w:p w14:paraId="29927426" w14:textId="5EFCE67D" w:rsidR="00CC53E8" w:rsidRDefault="00CC53E8" w:rsidP="00C424A4">
      <w:pPr>
        <w:pStyle w:val="Header"/>
      </w:pPr>
      <w:r w:rsidRPr="00AA1C3A">
        <w:rPr>
          <w:b/>
          <w:bCs/>
          <w:u w:val="single"/>
        </w:rPr>
        <w:t xml:space="preserve">ED Status </w:t>
      </w:r>
      <w:r w:rsidR="003932BB" w:rsidRPr="00AA1C3A">
        <w:rPr>
          <w:b/>
          <w:bCs/>
          <w:u w:val="single"/>
        </w:rPr>
        <w:t>Overdue</w:t>
      </w:r>
      <w:r w:rsidR="00AA1C3A">
        <w:rPr>
          <w:b/>
          <w:bCs/>
          <w:u w:val="single"/>
        </w:rPr>
        <w:t xml:space="preserve"> </w:t>
      </w:r>
      <w:r w:rsidR="001A2C06">
        <w:t>Template is</w:t>
      </w:r>
      <w:r w:rsidR="00433710">
        <w:t xml:space="preserve"> a </w:t>
      </w:r>
      <w:r w:rsidR="00433710" w:rsidRPr="00D7279C">
        <w:t>non-emergency</w:t>
      </w:r>
      <w:r w:rsidR="00A81382">
        <w:t xml:space="preserve"> event</w:t>
      </w:r>
      <w:r w:rsidR="001A2C06">
        <w:t xml:space="preserve"> best used for requesting ED Status and ED Saturation </w:t>
      </w:r>
      <w:r w:rsidR="00764A65">
        <w:t>updates:</w:t>
      </w:r>
    </w:p>
    <w:p w14:paraId="3445AC7E" w14:textId="16AC592D" w:rsidR="00764A65" w:rsidRDefault="0054015F" w:rsidP="00C424A4">
      <w:pPr>
        <w:pStyle w:val="Header"/>
      </w:pPr>
      <w:r>
        <w:rPr>
          <w:noProof/>
        </w:rPr>
        <w:lastRenderedPageBreak/>
        <w:drawing>
          <wp:inline distT="0" distB="0" distL="0" distR="0" wp14:anchorId="6CE5C88B" wp14:editId="09C60A42">
            <wp:extent cx="5943600" cy="2820035"/>
            <wp:effectExtent l="0" t="0" r="0" b="0"/>
            <wp:docPr id="1743095928" name="Picture 2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095928" name="Picture 2" descr="A screen shot of a compu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E4D66" w14:textId="77777777" w:rsidR="0054015F" w:rsidRDefault="0054015F" w:rsidP="00C424A4">
      <w:pPr>
        <w:pStyle w:val="Header"/>
      </w:pPr>
    </w:p>
    <w:p w14:paraId="6C7365DA" w14:textId="32AE0BDA" w:rsidR="0054015F" w:rsidRPr="00D7279C" w:rsidRDefault="0054015F" w:rsidP="00C424A4">
      <w:pPr>
        <w:pStyle w:val="Header"/>
        <w:rPr>
          <w:b/>
          <w:bCs/>
          <w:u w:val="single"/>
        </w:rPr>
      </w:pPr>
      <w:r w:rsidRPr="00D7279C">
        <w:rPr>
          <w:b/>
          <w:bCs/>
          <w:u w:val="single"/>
        </w:rPr>
        <w:t xml:space="preserve">Emergency Room Status </w:t>
      </w:r>
      <w:r w:rsidR="00433710" w:rsidRPr="00D7279C">
        <w:rPr>
          <w:b/>
          <w:bCs/>
          <w:u w:val="single"/>
        </w:rPr>
        <w:t>Update</w:t>
      </w:r>
      <w:r w:rsidR="00433710">
        <w:rPr>
          <w:b/>
          <w:bCs/>
          <w:u w:val="single"/>
        </w:rPr>
        <w:t xml:space="preserve">; </w:t>
      </w:r>
      <w:r w:rsidR="00433710" w:rsidRPr="00D7279C">
        <w:t>is</w:t>
      </w:r>
      <w:r w:rsidR="00D7279C" w:rsidRPr="00D7279C">
        <w:t xml:space="preserve"> another non-emergency </w:t>
      </w:r>
      <w:r w:rsidR="00A81382">
        <w:t>event</w:t>
      </w:r>
      <w:r w:rsidR="00D7279C" w:rsidRPr="00D7279C">
        <w:t xml:space="preserve"> </w:t>
      </w:r>
      <w:r w:rsidR="00D04FDE">
        <w:t xml:space="preserve">template </w:t>
      </w:r>
      <w:r w:rsidR="00D7279C" w:rsidRPr="00D7279C">
        <w:t xml:space="preserve">to </w:t>
      </w:r>
      <w:r w:rsidR="00A81382">
        <w:t xml:space="preserve">request </w:t>
      </w:r>
      <w:r w:rsidR="00D7279C" w:rsidRPr="00D7279C">
        <w:t>update statuses.</w:t>
      </w:r>
      <w:r w:rsidR="00A81382">
        <w:t xml:space="preserve"> This </w:t>
      </w:r>
      <w:r w:rsidR="00D04FDE">
        <w:t xml:space="preserve">template requests the update of </w:t>
      </w:r>
      <w:r w:rsidR="00D42BC2">
        <w:t>ED Status, ED Saturation, Hospital Saturation</w:t>
      </w:r>
      <w:r w:rsidR="00CB28F8">
        <w:t xml:space="preserve">, and Decon statuses. </w:t>
      </w:r>
    </w:p>
    <w:sectPr w:rsidR="0054015F" w:rsidRPr="00D7279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08C46" w14:textId="77777777" w:rsidR="00B96123" w:rsidRDefault="00B96123" w:rsidP="000F5819">
      <w:r>
        <w:separator/>
      </w:r>
    </w:p>
  </w:endnote>
  <w:endnote w:type="continuationSeparator" w:id="0">
    <w:p w14:paraId="56BE3024" w14:textId="77777777" w:rsidR="00B96123" w:rsidRDefault="00B96123" w:rsidP="000F5819">
      <w:r>
        <w:continuationSeparator/>
      </w:r>
    </w:p>
  </w:endnote>
  <w:endnote w:type="continuationNotice" w:id="1">
    <w:p w14:paraId="7D911EF7" w14:textId="77777777" w:rsidR="00B96123" w:rsidRDefault="00B96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939B1" w14:textId="443D6F02" w:rsidR="00E27038" w:rsidRPr="00CA64F3" w:rsidRDefault="00E27038" w:rsidP="00CA64F3">
    <w:pPr>
      <w:spacing w:after="200" w:line="276" w:lineRule="auto"/>
      <w:jc w:val="both"/>
      <w:rPr>
        <w:rFonts w:ascii="Times New Roman" w:eastAsia="Calibri" w:hAnsi="Times New Roman" w:cs="Times New Roman"/>
        <w:color w:val="FF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A9AEA" w14:textId="77777777" w:rsidR="00B96123" w:rsidRDefault="00B96123" w:rsidP="000F5819">
      <w:r>
        <w:separator/>
      </w:r>
    </w:p>
  </w:footnote>
  <w:footnote w:type="continuationSeparator" w:id="0">
    <w:p w14:paraId="32D6AA14" w14:textId="77777777" w:rsidR="00B96123" w:rsidRDefault="00B96123" w:rsidP="000F5819">
      <w:r>
        <w:continuationSeparator/>
      </w:r>
    </w:p>
  </w:footnote>
  <w:footnote w:type="continuationNotice" w:id="1">
    <w:p w14:paraId="054735CC" w14:textId="77777777" w:rsidR="00B96123" w:rsidRDefault="00B96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E8C13" w14:textId="4CE1FAD9" w:rsidR="000F5819" w:rsidRDefault="000F5819">
    <w:pPr>
      <w:pStyle w:val="Header"/>
    </w:pPr>
  </w:p>
  <w:p w14:paraId="75EFF962" w14:textId="77777777" w:rsidR="000F5819" w:rsidRPr="00CA64F3" w:rsidRDefault="000F5819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B322E"/>
    <w:multiLevelType w:val="multilevel"/>
    <w:tmpl w:val="9420FC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67915"/>
    <w:multiLevelType w:val="multilevel"/>
    <w:tmpl w:val="D40E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C173F"/>
    <w:multiLevelType w:val="multilevel"/>
    <w:tmpl w:val="193A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619BA"/>
    <w:multiLevelType w:val="multilevel"/>
    <w:tmpl w:val="43C6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A2212"/>
    <w:multiLevelType w:val="multilevel"/>
    <w:tmpl w:val="96C2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C979B6"/>
    <w:multiLevelType w:val="multilevel"/>
    <w:tmpl w:val="0BAE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C57B1"/>
    <w:multiLevelType w:val="multilevel"/>
    <w:tmpl w:val="F424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72A45"/>
    <w:multiLevelType w:val="multilevel"/>
    <w:tmpl w:val="BC00EE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F74CF4"/>
    <w:multiLevelType w:val="multilevel"/>
    <w:tmpl w:val="C56E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5446E5"/>
    <w:multiLevelType w:val="multilevel"/>
    <w:tmpl w:val="2A8C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5157015">
    <w:abstractNumId w:val="3"/>
  </w:num>
  <w:num w:numId="2" w16cid:durableId="527108193">
    <w:abstractNumId w:val="6"/>
    <w:lvlOverride w:ilvl="0">
      <w:startOverride w:val="1"/>
    </w:lvlOverride>
  </w:num>
  <w:num w:numId="3" w16cid:durableId="1912736691">
    <w:abstractNumId w:val="6"/>
    <w:lvlOverride w:ilvl="0">
      <w:startOverride w:val="2"/>
    </w:lvlOverride>
  </w:num>
  <w:num w:numId="4" w16cid:durableId="316803351">
    <w:abstractNumId w:val="6"/>
    <w:lvlOverride w:ilvl="0">
      <w:startOverride w:val="3"/>
    </w:lvlOverride>
  </w:num>
  <w:num w:numId="5" w16cid:durableId="2040544404">
    <w:abstractNumId w:val="6"/>
    <w:lvlOverride w:ilvl="0">
      <w:startOverride w:val="4"/>
    </w:lvlOverride>
  </w:num>
  <w:num w:numId="6" w16cid:durableId="982739023">
    <w:abstractNumId w:val="9"/>
    <w:lvlOverride w:ilvl="0">
      <w:startOverride w:val="5"/>
    </w:lvlOverride>
  </w:num>
  <w:num w:numId="7" w16cid:durableId="276641167">
    <w:abstractNumId w:val="9"/>
    <w:lvlOverride w:ilvl="0">
      <w:startOverride w:val="6"/>
    </w:lvlOverride>
  </w:num>
  <w:num w:numId="8" w16cid:durableId="1687322252">
    <w:abstractNumId w:val="7"/>
    <w:lvlOverride w:ilvl="0">
      <w:startOverride w:val="1"/>
    </w:lvlOverride>
  </w:num>
  <w:num w:numId="9" w16cid:durableId="1128085407">
    <w:abstractNumId w:val="7"/>
    <w:lvlOverride w:ilvl="0">
      <w:startOverride w:val="2"/>
    </w:lvlOverride>
  </w:num>
  <w:num w:numId="10" w16cid:durableId="2630590">
    <w:abstractNumId w:val="7"/>
    <w:lvlOverride w:ilvl="0">
      <w:startOverride w:val="3"/>
    </w:lvlOverride>
  </w:num>
  <w:num w:numId="11" w16cid:durableId="973293188">
    <w:abstractNumId w:val="1"/>
  </w:num>
  <w:num w:numId="12" w16cid:durableId="1256090666">
    <w:abstractNumId w:val="4"/>
    <w:lvlOverride w:ilvl="0">
      <w:startOverride w:val="7"/>
    </w:lvlOverride>
  </w:num>
  <w:num w:numId="13" w16cid:durableId="135608450">
    <w:abstractNumId w:val="4"/>
    <w:lvlOverride w:ilvl="0">
      <w:startOverride w:val="8"/>
    </w:lvlOverride>
  </w:num>
  <w:num w:numId="14" w16cid:durableId="883492611">
    <w:abstractNumId w:val="2"/>
    <w:lvlOverride w:ilvl="0">
      <w:startOverride w:val="1"/>
    </w:lvlOverride>
  </w:num>
  <w:num w:numId="15" w16cid:durableId="1306666689">
    <w:abstractNumId w:val="2"/>
    <w:lvlOverride w:ilvl="0">
      <w:startOverride w:val="2"/>
    </w:lvlOverride>
  </w:num>
  <w:num w:numId="16" w16cid:durableId="1824617849">
    <w:abstractNumId w:val="2"/>
    <w:lvlOverride w:ilvl="0">
      <w:startOverride w:val="3"/>
    </w:lvlOverride>
  </w:num>
  <w:num w:numId="17" w16cid:durableId="1224369336">
    <w:abstractNumId w:val="2"/>
    <w:lvlOverride w:ilvl="0">
      <w:startOverride w:val="4"/>
    </w:lvlOverride>
  </w:num>
  <w:num w:numId="18" w16cid:durableId="825632747">
    <w:abstractNumId w:val="2"/>
    <w:lvlOverride w:ilvl="0">
      <w:startOverride w:val="5"/>
    </w:lvlOverride>
  </w:num>
  <w:num w:numId="19" w16cid:durableId="2057387156">
    <w:abstractNumId w:val="2"/>
    <w:lvlOverride w:ilvl="0">
      <w:startOverride w:val="6"/>
    </w:lvlOverride>
  </w:num>
  <w:num w:numId="20" w16cid:durableId="1555192793">
    <w:abstractNumId w:val="2"/>
    <w:lvlOverride w:ilvl="0">
      <w:startOverride w:val="7"/>
    </w:lvlOverride>
  </w:num>
  <w:num w:numId="21" w16cid:durableId="74522307">
    <w:abstractNumId w:val="2"/>
    <w:lvlOverride w:ilvl="0">
      <w:startOverride w:val="8"/>
    </w:lvlOverride>
  </w:num>
  <w:num w:numId="22" w16cid:durableId="737441708">
    <w:abstractNumId w:val="2"/>
    <w:lvlOverride w:ilvl="0">
      <w:startOverride w:val="9"/>
    </w:lvlOverride>
  </w:num>
  <w:num w:numId="23" w16cid:durableId="179272969">
    <w:abstractNumId w:val="5"/>
    <w:lvlOverride w:ilvl="0">
      <w:startOverride w:val="1"/>
    </w:lvlOverride>
  </w:num>
  <w:num w:numId="24" w16cid:durableId="786579646">
    <w:abstractNumId w:val="5"/>
    <w:lvlOverride w:ilvl="0">
      <w:startOverride w:val="2"/>
    </w:lvlOverride>
  </w:num>
  <w:num w:numId="25" w16cid:durableId="525288207">
    <w:abstractNumId w:val="5"/>
    <w:lvlOverride w:ilvl="0">
      <w:startOverride w:val="3"/>
    </w:lvlOverride>
  </w:num>
  <w:num w:numId="26" w16cid:durableId="678628888">
    <w:abstractNumId w:val="5"/>
    <w:lvlOverride w:ilvl="0">
      <w:startOverride w:val="4"/>
    </w:lvlOverride>
  </w:num>
  <w:num w:numId="27" w16cid:durableId="442962974">
    <w:abstractNumId w:val="5"/>
    <w:lvlOverride w:ilvl="0">
      <w:startOverride w:val="5"/>
    </w:lvlOverride>
  </w:num>
  <w:num w:numId="28" w16cid:durableId="486938345">
    <w:abstractNumId w:val="0"/>
    <w:lvlOverride w:ilvl="0">
      <w:startOverride w:val="1"/>
    </w:lvlOverride>
  </w:num>
  <w:num w:numId="29" w16cid:durableId="691107592">
    <w:abstractNumId w:val="0"/>
    <w:lvlOverride w:ilvl="0">
      <w:startOverride w:val="2"/>
    </w:lvlOverride>
  </w:num>
  <w:num w:numId="30" w16cid:durableId="824051425">
    <w:abstractNumId w:val="0"/>
    <w:lvlOverride w:ilvl="0">
      <w:startOverride w:val="3"/>
    </w:lvlOverride>
  </w:num>
  <w:num w:numId="31" w16cid:durableId="2122450062">
    <w:abstractNumId w:val="8"/>
    <w:lvlOverride w:ilvl="0">
      <w:startOverride w:val="6"/>
    </w:lvlOverride>
  </w:num>
  <w:num w:numId="32" w16cid:durableId="1028482484">
    <w:abstractNumId w:val="8"/>
    <w:lvlOverride w:ilvl="0">
      <w:startOverride w:val="7"/>
    </w:lvlOverride>
  </w:num>
  <w:num w:numId="33" w16cid:durableId="420296106">
    <w:abstractNumId w:val="8"/>
    <w:lvlOverride w:ilvl="0">
      <w:startOverride w:val="8"/>
    </w:lvlOverride>
  </w:num>
  <w:num w:numId="34" w16cid:durableId="213004861">
    <w:abstractNumId w:val="8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819"/>
    <w:rsid w:val="0000455D"/>
    <w:rsid w:val="000167AC"/>
    <w:rsid w:val="000213C4"/>
    <w:rsid w:val="000246F9"/>
    <w:rsid w:val="00052895"/>
    <w:rsid w:val="000725E1"/>
    <w:rsid w:val="00075046"/>
    <w:rsid w:val="000916F7"/>
    <w:rsid w:val="000D7964"/>
    <w:rsid w:val="000F5819"/>
    <w:rsid w:val="00150FAC"/>
    <w:rsid w:val="001A2C06"/>
    <w:rsid w:val="001E197A"/>
    <w:rsid w:val="0020393F"/>
    <w:rsid w:val="002061BF"/>
    <w:rsid w:val="00241BA9"/>
    <w:rsid w:val="00250348"/>
    <w:rsid w:val="00250C16"/>
    <w:rsid w:val="002616F8"/>
    <w:rsid w:val="002C134E"/>
    <w:rsid w:val="002C7FBB"/>
    <w:rsid w:val="002D1A7A"/>
    <w:rsid w:val="0032132F"/>
    <w:rsid w:val="00325A45"/>
    <w:rsid w:val="0037456A"/>
    <w:rsid w:val="003932BB"/>
    <w:rsid w:val="003C0541"/>
    <w:rsid w:val="003C40D8"/>
    <w:rsid w:val="003D3C3E"/>
    <w:rsid w:val="003D6C2C"/>
    <w:rsid w:val="003D6DB3"/>
    <w:rsid w:val="00412121"/>
    <w:rsid w:val="00433710"/>
    <w:rsid w:val="0044066A"/>
    <w:rsid w:val="00460683"/>
    <w:rsid w:val="00474473"/>
    <w:rsid w:val="0047563D"/>
    <w:rsid w:val="00490494"/>
    <w:rsid w:val="004D0396"/>
    <w:rsid w:val="004D1781"/>
    <w:rsid w:val="004F2B14"/>
    <w:rsid w:val="005031D7"/>
    <w:rsid w:val="00504BC3"/>
    <w:rsid w:val="0054015F"/>
    <w:rsid w:val="005635CB"/>
    <w:rsid w:val="005923FF"/>
    <w:rsid w:val="00595EFF"/>
    <w:rsid w:val="00596C66"/>
    <w:rsid w:val="005C08DA"/>
    <w:rsid w:val="005E68BC"/>
    <w:rsid w:val="005F478C"/>
    <w:rsid w:val="00665B18"/>
    <w:rsid w:val="006721B1"/>
    <w:rsid w:val="0069552D"/>
    <w:rsid w:val="00696209"/>
    <w:rsid w:val="006A2C02"/>
    <w:rsid w:val="006A4A48"/>
    <w:rsid w:val="006B2E32"/>
    <w:rsid w:val="006D52AE"/>
    <w:rsid w:val="006E3DCC"/>
    <w:rsid w:val="00704953"/>
    <w:rsid w:val="007239B7"/>
    <w:rsid w:val="00725033"/>
    <w:rsid w:val="0074506B"/>
    <w:rsid w:val="0075163F"/>
    <w:rsid w:val="00764A65"/>
    <w:rsid w:val="00771AF4"/>
    <w:rsid w:val="00780F8B"/>
    <w:rsid w:val="00786B55"/>
    <w:rsid w:val="007C7F52"/>
    <w:rsid w:val="007F0258"/>
    <w:rsid w:val="00814B8D"/>
    <w:rsid w:val="00834C32"/>
    <w:rsid w:val="008674D8"/>
    <w:rsid w:val="008851AF"/>
    <w:rsid w:val="00894A55"/>
    <w:rsid w:val="008E3C09"/>
    <w:rsid w:val="00903F1C"/>
    <w:rsid w:val="00911361"/>
    <w:rsid w:val="009543A3"/>
    <w:rsid w:val="009865EF"/>
    <w:rsid w:val="009A3921"/>
    <w:rsid w:val="009D730A"/>
    <w:rsid w:val="00A13BF7"/>
    <w:rsid w:val="00A24DD6"/>
    <w:rsid w:val="00A3147D"/>
    <w:rsid w:val="00A37C67"/>
    <w:rsid w:val="00A6373F"/>
    <w:rsid w:val="00A76BF9"/>
    <w:rsid w:val="00A81382"/>
    <w:rsid w:val="00AA1C3A"/>
    <w:rsid w:val="00B22AED"/>
    <w:rsid w:val="00B74342"/>
    <w:rsid w:val="00B84B26"/>
    <w:rsid w:val="00B96123"/>
    <w:rsid w:val="00BA2354"/>
    <w:rsid w:val="00BA4E1C"/>
    <w:rsid w:val="00BE6D78"/>
    <w:rsid w:val="00C01C0A"/>
    <w:rsid w:val="00C2490E"/>
    <w:rsid w:val="00C3135B"/>
    <w:rsid w:val="00C424A4"/>
    <w:rsid w:val="00C51F6D"/>
    <w:rsid w:val="00C80392"/>
    <w:rsid w:val="00CA64F3"/>
    <w:rsid w:val="00CA6D5B"/>
    <w:rsid w:val="00CB28F8"/>
    <w:rsid w:val="00CC53E8"/>
    <w:rsid w:val="00D04FDE"/>
    <w:rsid w:val="00D077EB"/>
    <w:rsid w:val="00D134A7"/>
    <w:rsid w:val="00D25911"/>
    <w:rsid w:val="00D3265A"/>
    <w:rsid w:val="00D41044"/>
    <w:rsid w:val="00D42BC2"/>
    <w:rsid w:val="00D53306"/>
    <w:rsid w:val="00D7279C"/>
    <w:rsid w:val="00D85F07"/>
    <w:rsid w:val="00DA526E"/>
    <w:rsid w:val="00DF353F"/>
    <w:rsid w:val="00E16401"/>
    <w:rsid w:val="00E27038"/>
    <w:rsid w:val="00E32E7C"/>
    <w:rsid w:val="00E37735"/>
    <w:rsid w:val="00E406FB"/>
    <w:rsid w:val="00E702DC"/>
    <w:rsid w:val="00E74A76"/>
    <w:rsid w:val="00E75455"/>
    <w:rsid w:val="00E76879"/>
    <w:rsid w:val="00EA6C96"/>
    <w:rsid w:val="00F06DCD"/>
    <w:rsid w:val="00F4366A"/>
    <w:rsid w:val="00F45930"/>
    <w:rsid w:val="00F753CB"/>
    <w:rsid w:val="00F86CC3"/>
    <w:rsid w:val="00FE0C60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81157"/>
  <w15:chartTrackingRefBased/>
  <w15:docId w15:val="{23FA2FB9-1DFE-D744-8E85-50F36092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5819"/>
    <w:pPr>
      <w:keepNext/>
      <w:spacing w:before="80" w:after="40"/>
      <w:outlineLvl w:val="0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819"/>
  </w:style>
  <w:style w:type="paragraph" w:styleId="Footer">
    <w:name w:val="footer"/>
    <w:basedOn w:val="Normal"/>
    <w:link w:val="FooterChar"/>
    <w:unhideWhenUsed/>
    <w:rsid w:val="000F5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19"/>
  </w:style>
  <w:style w:type="character" w:customStyle="1" w:styleId="Heading1Char">
    <w:name w:val="Heading 1 Char"/>
    <w:basedOn w:val="DefaultParagraphFont"/>
    <w:link w:val="Heading1"/>
    <w:rsid w:val="000F5819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PageNumber">
    <w:name w:val="page number"/>
    <w:basedOn w:val="DefaultParagraphFont"/>
    <w:rsid w:val="000F5819"/>
  </w:style>
  <w:style w:type="paragraph" w:styleId="NormalWeb">
    <w:name w:val="Normal (Web)"/>
    <w:basedOn w:val="Normal"/>
    <w:uiPriority w:val="99"/>
    <w:semiHidden/>
    <w:unhideWhenUsed/>
    <w:rsid w:val="00BA4E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te-indent">
    <w:name w:val="note-indent"/>
    <w:basedOn w:val="Normal"/>
    <w:rsid w:val="00BA4E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utonumber">
    <w:name w:val="autonumber"/>
    <w:basedOn w:val="DefaultParagraphFont"/>
    <w:rsid w:val="00BA4E1C"/>
  </w:style>
  <w:style w:type="character" w:customStyle="1" w:styleId="apple-converted-space">
    <w:name w:val="apple-converted-space"/>
    <w:basedOn w:val="DefaultParagraphFont"/>
    <w:rsid w:val="00BA4E1C"/>
  </w:style>
  <w:style w:type="character" w:styleId="Hyperlink">
    <w:name w:val="Hyperlink"/>
    <w:basedOn w:val="DefaultParagraphFont"/>
    <w:uiPriority w:val="99"/>
    <w:semiHidden/>
    <w:unhideWhenUsed/>
    <w:rsid w:val="00BA4E1C"/>
    <w:rPr>
      <w:color w:val="0000FF"/>
      <w:u w:val="single"/>
    </w:rPr>
  </w:style>
  <w:style w:type="character" w:customStyle="1" w:styleId="window">
    <w:name w:val="window"/>
    <w:basedOn w:val="DefaultParagraphFont"/>
    <w:rsid w:val="00BA4E1C"/>
  </w:style>
  <w:style w:type="character" w:customStyle="1" w:styleId="click-ui-element">
    <w:name w:val="click-ui-element"/>
    <w:basedOn w:val="DefaultParagraphFont"/>
    <w:rsid w:val="00BA4E1C"/>
  </w:style>
  <w:style w:type="character" w:customStyle="1" w:styleId="mc-variable">
    <w:name w:val="mc-variable"/>
    <w:basedOn w:val="DefaultParagraphFont"/>
    <w:rsid w:val="00BA4E1C"/>
  </w:style>
  <w:style w:type="paragraph" w:customStyle="1" w:styleId="heading-procedure">
    <w:name w:val="heading-procedure"/>
    <w:basedOn w:val="Normal"/>
    <w:rsid w:val="00BA4E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lick-ui-element1">
    <w:name w:val="click-ui-element1"/>
    <w:basedOn w:val="Normal"/>
    <w:rsid w:val="00BA4E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te">
    <w:name w:val="note"/>
    <w:basedOn w:val="Normal"/>
    <w:rsid w:val="00BA4E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te-tip-indent">
    <w:name w:val="note-tip-indent"/>
    <w:basedOn w:val="Normal"/>
    <w:rsid w:val="00BA4E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24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9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0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AAFAD7-9809-4BA6-9860-DA90B1E2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Meyers</dc:creator>
  <cp:keywords/>
  <dc:description/>
  <cp:lastModifiedBy>CFDMC</cp:lastModifiedBy>
  <cp:revision>6</cp:revision>
  <dcterms:created xsi:type="dcterms:W3CDTF">2024-03-14T17:34:00Z</dcterms:created>
  <dcterms:modified xsi:type="dcterms:W3CDTF">2024-04-02T14:05:00Z</dcterms:modified>
</cp:coreProperties>
</file>